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拟推荐2019—2020年度</w:t>
      </w:r>
    </w:p>
    <w:p>
      <w:pPr>
        <w:numPr>
          <w:ilvl w:val="0"/>
          <w:numId w:val="0"/>
        </w:num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“首都精神文明建设奖”名单</w:t>
      </w:r>
    </w:p>
    <w:bookmarkEnd w:id="0"/>
    <w:p>
      <w:pPr>
        <w:numPr>
          <w:ilvl w:val="0"/>
          <w:numId w:val="0"/>
        </w:num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拟推荐名单（5人）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陈同滨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女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 xml:space="preserve">）  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中国建设科技集团中国建筑设计研究院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总规划师、建筑历史研究所名誉所长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中国文物学会副会长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98" w:leftChars="304" w:hanging="1560" w:hangingChars="5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谢  军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 xml:space="preserve">  中国航天科技集团有限公司五院通信与导航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卫星总体部研究员、北斗三号工程副总设计师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北斗三号导航卫星首席总设计师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毛  明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 xml:space="preserve">  中国兵器工业集团中国北方车辆研究所研究员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中国兵器首席科学家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刘  姗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女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）  中国石油化工集团有限公司党组宣传部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新闻（舆情）室副主任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吴  扬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 xml:space="preserve">  中国建筑集团有限公司党建工作部、企业文化部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caps w:val="0"/>
          <w:color w:val="auto"/>
          <w:spacing w:val="-4"/>
          <w:sz w:val="32"/>
          <w:szCs w:val="32"/>
          <w:vertAlign w:val="baseline"/>
          <w:lang w:val="en-US" w:eastAsia="zh-CN"/>
        </w:rPr>
        <w:t>高级经理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425B4"/>
    <w:rsid w:val="232425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2020-11-23T08:24:00Z</dcterms:created>
  <dc:creator>zhangqi</dc:creator>
  <cp:lastModifiedBy>zhangqi</cp:lastModifiedBy>
  <dcterms:modified xsi:type="dcterms:W3CDTF">2020-11-23T08:25:27Z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